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185</w:t>
      </w:r>
    </w:p>
    <w:p>
      <w:r>
        <w:t>Bundesgericht (BGE), 2008-01-01, FR</w:t>
      </w:r>
    </w:p>
    <w:p>
      <w:r>
        <w:rPr>
          <w:b/>
        </w:rPr>
        <w:t xml:space="preserve">Quelle: </w:t>
      </w:r>
      <w:r>
        <w:t>https://mcp.opencaselaw.ch/entscheid/bge_134 IV 185</w:t>
      </w:r>
    </w:p>
    <w:p>
      <w:r>
        <w:t>FR: ATF 134 IV 185</w:t>
      </w:r>
    </w:p>
    <w:p>
      <w:r>
        <w:t>IT: DTF 134 IV 185</w:t>
      </w:r>
    </w:p>
    <w:p>
      <w:pPr>
        <w:pStyle w:val="Heading2"/>
      </w:pPr>
      <w:r>
        <w:t>Regeste</w:t>
      </w:r>
    </w:p>
    <w:p>
      <w:r>
        <w:t>Regeste Art. 59 Ziff. 3 aStGB; Einziehung von Vermögenswerten, welche der Verfügungsmacht einer kriminellen Organisation unterliegen. Die in Art. 59 Ziff. 3 aStGB vorgesehene Einziehung setzt voraus, dass die schweizerischen Behörden zur Verfolgung des Eigentümers der Vermögenswerte wegen Zugehörigkeit zu einer kriminellen Organisation im Sinne von Art. 260 ter StGB zuständig sind (E. 2).</w:t>
      </w:r>
    </w:p>
    <w:p>
      <w:pPr>
        <w:pStyle w:val="Heading2"/>
      </w:pPr>
      <w:r>
        <w:t>Erwägungen</w:t>
      </w:r>
    </w:p>
    <w:p>
      <w:r>
        <w:rPr>
          <w:b/>
        </w:rPr>
        <w:t>E. 2</w:t>
      </w:r>
    </w:p>
    <w:p>
      <w:r>
        <w:t>Contestant la confiscation de ses avoirs bancaires, le recourant invoque la subsidiarité de l'art. 260 ter CP, le renversement de la présomption BGE 134 IV 185 S. 187 contenue à l'art. 59 ch. 3 aCP, la prescription au sens de l' art. 70 CP et l'absence de compétence territoriale en Suisse. Il se prévaut également d'une motivation insuffisante pour l'application correcte du droit fédéral.</w:t>
      </w:r>
    </w:p>
    <w:p>
      <w:r>
        <w:rPr>
          <w:b/>
        </w:rPr>
        <w:t>E. 2.1</w:t>
      </w:r>
    </w:p>
    <w:p>
      <w:r>
        <w:t>La confiscation litigieuse est régie par l'art. 59 ch. 3 aCP, puisque cette disposition n'a subi, lors de l'entrée en vigueur au 1 er janvier 2007 de la modification du code pénal, que des changements irrelevants du point de vue de la lex mitior ( art. 2 CP ). Cette norme prévoit que le juge prononcera la confiscation de toutes les valeurs sur lesquelles une organisation criminelle exerce un pouvoir de disposition. Les valeurs appartenant à une personne qui a participé ou apporté son soutien à une organisation criminelle sont présumées soumises, jusqu'à preuve du contraire, au pouvoir de disposition de l'organisation. En ce qui concerne l'art. 59 ch. 1 et 2 aCP, la jurisprudence exige que l'infraction d'où proviennent les valeurs ressortisse à la compétence de la juridiction suisse. En effet, les art. 3 à 7 aCP posent les règles d'application du code pénal, dont l'art. 59 aCP fait précisément partie. Il s'ensuit que la confiscation en relation avec une infraction est aussi soumise aux art. 3 à 7 aCP et ne peut être ordonnée que si l'infraction en cause ressortit à la compétence de la juridiction suisse ( ATF 128 IV 145 consid. 2d p. 151). Le fait que le législateur a précisé à l' art. 24 LStup que "les avantages pécuniaires illicites qui se trouvent en Suisse seront également acquis à l'Etat lorsque l'infraction aura été commise à l'étranger" démontre que le droit suisse ne reconnaît pas de manière générale la confiscation au forum rei sitae ( ATF 128 IV 145 consid. 2d in fine p. 152). Il n'y a pas lieu de s'écarter de l' ATF 128 IV 145 s'agissant de la confiscation des fonds d'une organisation criminelle et de soumettre celle-ci au principe de l'universalité. En conséquence, il faut admettre que la confiscation prévue à l'art. 59 ch. 3 aCP implique que la juridiction suisse soit compétente pour poursuivre la personne propriétaire des valeurs délictueuses pour appartenance à une organisation criminelle au sens de l'art. 260 ter CP. ll ne faut cependant pas minimiser la compétence du juge suisse en matière de répression de l'organisation criminelle. L'art. 260 ter ch. 3 aCP prévoit en effet qu'est également punissable celui qui aura commis l'infraction à l'étranger si l'organisation exerce ou doit exercer son activité criminelle en tout ou en partie en Suisse. En outre, celui qui administre les fonds de BGE 134 IV 185 S. 188 l'organisation est punissable selon l'art. 260 ter CP, dès lors qu'il soutient l'organisation. Il s'ensuit que la confiscation pourra être ordonnée en Suisse si les fonds sont gérés dans notre pays par un membre de l'organisation ou par un instrument utilisé à son insu (cf. arrêt 6P.142/2004 et 6S.389/2004 du 7 février 2005, consid. 4.2, et les références citées).</w:t>
      </w:r>
    </w:p>
    <w:p>
      <w:r>
        <w:rPr>
          <w:b/>
        </w:rPr>
        <w:t>E. 2.2</w:t>
      </w:r>
    </w:p>
    <w:p>
      <w:r>
        <w:t>Selon la Cour des plaintes, le fait que les actes punissables liés au trafic de stupéfiants aient eu lieu à l'étranger, que le recourant y ait été condamné et qu'il y ait purgé sa peine ne saurait faire obstacle à la confiscation au sens de l'art. 59 ch. 3 aCP dans la mesure où, à teneur de l' art. 24 LStup , les avantages pécuniaires illicites qui se trouvent en Suisse seront également acquis à l'Etat lorsque l'infraction aura été commise à l'étranger. Ce raisonnement ne saurait être suivi. En effet, selon les faits retenus, le recourant a ouvert le compte "Florence", au moyen d'un apport initial de 500'000 USD, dans le courant de l'année 1987. Or, ce n'est qu'en 1993, soit six ans environ après l'ouverture du compte précité, qu'il est entré en contact avec d'autres personnes pour mettre au point l'importation en Australie de plus de quinze tonnes de cannabis. Il a ensuite été arrêté le 4 août 1994, puis condamné le 11 mars 1996 pour ce trafic de stupéfiants. Au vu de la chronologie de ces événements, on ne peut conclure que la somme déposée sur le compte "Florence" en 1987 proviendrait de l'importation de cannabis qui s'est déroulée en 1994, ni qu'elle constituerait par conséquent un avantage pécuniaire résultant d'une infraction. Dans ces conditions, la compétence des autorités suisses pour procéder à la confiscation litigieuse ne saurait s'appuyer sur l' art. 24 LStup .</w:t>
      </w:r>
    </w:p>
    <w:p>
      <w:r>
        <w:rPr>
          <w:b/>
        </w:rPr>
        <w:t>E. 2.3</w:t>
      </w:r>
    </w:p>
    <w:p>
      <w:r>
        <w:t>Pour le reste, les faits retenus par la Cour des plaintes ne permettent pas de fonder la compétence des autorités suisses pour poursuivre le recourant pour appartenance à une organisation criminelle au sens de l'art. 260 ter CP. En effet, l'intéressé n'a pas agi en Suisse, notamment en soutenant une organisation criminelle au moyen des fonds déposés sur le compte "Florence", dès lors qu'aucun dépôt, ni retrait n'a jamais eu lieu sur ledit compte, qui pour le surplus a été ouvert en 1987, soit bien avant l'entrée en vigueur, le 1 er août 1994, de l'art. 260 ter CP (cf. art. 260 ter al. 1, par. 2 et 3 CP). Il ne peut non plus être retenu que l'organisation criminelle à laquelle le recourant a appartenu ait exercé une partie de son activité en Suisse (cf. art. 260 ter al. 3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